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319BE" w14:textId="7573BB2E" w:rsidR="00DE087A" w:rsidRDefault="00AC7038" w:rsidP="00DE087A">
      <w:pPr>
        <w:spacing w:after="0" w:line="240" w:lineRule="auto"/>
        <w:jc w:val="right"/>
        <w:rPr>
          <w:rFonts w:eastAsia="Calibri"/>
          <w:b/>
          <w:bCs/>
          <w:sz w:val="18"/>
          <w:szCs w:val="18"/>
        </w:rPr>
      </w:pPr>
      <w:r>
        <w:rPr>
          <w:rFonts w:eastAsia="Calibri"/>
          <w:b/>
          <w:bCs/>
          <w:sz w:val="18"/>
          <w:szCs w:val="18"/>
        </w:rPr>
        <w:t>Иванов А.А</w:t>
      </w:r>
      <w:r w:rsidR="00DE087A">
        <w:rPr>
          <w:rFonts w:eastAsia="Calibri"/>
          <w:b/>
          <w:bCs/>
          <w:sz w:val="18"/>
          <w:szCs w:val="18"/>
        </w:rPr>
        <w:t>., аспирант</w:t>
      </w:r>
    </w:p>
    <w:p w14:paraId="128BBC6F" w14:textId="77777777" w:rsidR="00DE087A" w:rsidRPr="00ED4642" w:rsidRDefault="00DE087A" w:rsidP="00DE087A">
      <w:pPr>
        <w:spacing w:after="0" w:line="240" w:lineRule="auto"/>
        <w:jc w:val="right"/>
        <w:rPr>
          <w:rFonts w:eastAsia="Calibri"/>
          <w:b/>
          <w:bCs/>
          <w:sz w:val="18"/>
          <w:szCs w:val="18"/>
        </w:rPr>
      </w:pPr>
    </w:p>
    <w:p w14:paraId="15C8B2A9" w14:textId="69FC411D" w:rsidR="00DE087A" w:rsidRPr="00ED4642" w:rsidRDefault="00DE087A" w:rsidP="00DE087A">
      <w:pPr>
        <w:spacing w:after="0" w:line="240" w:lineRule="auto"/>
        <w:jc w:val="right"/>
        <w:rPr>
          <w:rFonts w:eastAsia="Calibri"/>
          <w:b/>
          <w:bCs/>
          <w:sz w:val="18"/>
          <w:szCs w:val="18"/>
        </w:rPr>
      </w:pPr>
      <w:r w:rsidRPr="00ED4642">
        <w:rPr>
          <w:rFonts w:eastAsia="Calibri"/>
          <w:b/>
          <w:bCs/>
          <w:sz w:val="18"/>
          <w:szCs w:val="18"/>
        </w:rPr>
        <w:t xml:space="preserve">Научный руководитель: </w:t>
      </w:r>
      <w:r w:rsidR="00AC7038">
        <w:rPr>
          <w:rFonts w:eastAsia="Calibri"/>
          <w:b/>
          <w:bCs/>
          <w:sz w:val="18"/>
          <w:szCs w:val="18"/>
        </w:rPr>
        <w:t>канд.</w:t>
      </w:r>
      <w:r>
        <w:rPr>
          <w:rFonts w:eastAsia="Calibri"/>
          <w:b/>
          <w:bCs/>
          <w:sz w:val="18"/>
          <w:szCs w:val="18"/>
        </w:rPr>
        <w:t xml:space="preserve"> техн. наук, </w:t>
      </w:r>
      <w:r w:rsidR="00AC7038">
        <w:rPr>
          <w:rFonts w:eastAsia="Calibri"/>
          <w:b/>
          <w:bCs/>
          <w:sz w:val="18"/>
          <w:szCs w:val="18"/>
        </w:rPr>
        <w:t>доц</w:t>
      </w:r>
      <w:r>
        <w:rPr>
          <w:rFonts w:eastAsia="Calibri"/>
          <w:b/>
          <w:bCs/>
          <w:sz w:val="18"/>
          <w:szCs w:val="18"/>
        </w:rPr>
        <w:t>.</w:t>
      </w:r>
      <w:r w:rsidRPr="00ED4642">
        <w:rPr>
          <w:rFonts w:eastAsia="Calibri"/>
          <w:b/>
          <w:bCs/>
          <w:sz w:val="18"/>
          <w:szCs w:val="18"/>
        </w:rPr>
        <w:t xml:space="preserve"> </w:t>
      </w:r>
    </w:p>
    <w:p w14:paraId="4F7ACA0C" w14:textId="1A6A6625" w:rsidR="00DE087A" w:rsidRPr="00ED4642" w:rsidRDefault="00AC7038" w:rsidP="00DE087A">
      <w:pPr>
        <w:spacing w:after="0" w:line="240" w:lineRule="auto"/>
        <w:jc w:val="right"/>
        <w:rPr>
          <w:rFonts w:eastAsia="Calibri"/>
          <w:b/>
          <w:bCs/>
          <w:sz w:val="18"/>
          <w:szCs w:val="18"/>
        </w:rPr>
      </w:pPr>
      <w:r>
        <w:rPr>
          <w:rFonts w:eastAsia="Calibri"/>
          <w:b/>
          <w:bCs/>
          <w:sz w:val="18"/>
          <w:szCs w:val="18"/>
        </w:rPr>
        <w:t>Петров В.В</w:t>
      </w:r>
      <w:r w:rsidR="00DE087A" w:rsidRPr="00ED4642">
        <w:rPr>
          <w:rFonts w:eastAsia="Calibri"/>
          <w:b/>
          <w:bCs/>
          <w:sz w:val="18"/>
          <w:szCs w:val="18"/>
        </w:rPr>
        <w:t>.</w:t>
      </w:r>
    </w:p>
    <w:p w14:paraId="34A6013B" w14:textId="77777777" w:rsidR="00DE087A" w:rsidRPr="00ED4642" w:rsidRDefault="00DE087A" w:rsidP="00DE087A">
      <w:pPr>
        <w:spacing w:after="0" w:line="240" w:lineRule="auto"/>
        <w:jc w:val="right"/>
        <w:rPr>
          <w:rFonts w:eastAsia="Calibri"/>
          <w:i/>
          <w:iCs/>
          <w:sz w:val="18"/>
          <w:szCs w:val="18"/>
        </w:rPr>
      </w:pPr>
      <w:r w:rsidRPr="00ED4642">
        <w:rPr>
          <w:rFonts w:eastAsia="Calibri"/>
          <w:i/>
          <w:iCs/>
          <w:sz w:val="18"/>
          <w:szCs w:val="18"/>
        </w:rPr>
        <w:t xml:space="preserve">Белгородский государственный технологический </w:t>
      </w:r>
    </w:p>
    <w:p w14:paraId="5F8A0A3A" w14:textId="77777777" w:rsidR="00DE087A" w:rsidRPr="00ED4642" w:rsidRDefault="00DE087A" w:rsidP="00DE087A">
      <w:pPr>
        <w:spacing w:after="0" w:line="240" w:lineRule="auto"/>
        <w:jc w:val="right"/>
        <w:rPr>
          <w:rFonts w:eastAsia="Calibri"/>
          <w:i/>
          <w:iCs/>
          <w:sz w:val="18"/>
          <w:szCs w:val="18"/>
        </w:rPr>
      </w:pPr>
      <w:r w:rsidRPr="00ED4642">
        <w:rPr>
          <w:rFonts w:eastAsia="Calibri"/>
          <w:i/>
          <w:iCs/>
          <w:sz w:val="18"/>
          <w:szCs w:val="18"/>
        </w:rPr>
        <w:t xml:space="preserve">университет им. В. Г. Шухова, г. Белгород, Россия </w:t>
      </w:r>
    </w:p>
    <w:p w14:paraId="75432008" w14:textId="2F33CFE2" w:rsidR="00A9426C" w:rsidRPr="001969B0" w:rsidRDefault="00A9426C" w:rsidP="001969B0">
      <w:pPr>
        <w:spacing w:after="0" w:line="259" w:lineRule="auto"/>
        <w:ind w:left="10" w:right="0" w:hanging="10"/>
        <w:jc w:val="center"/>
        <w:rPr>
          <w:sz w:val="18"/>
          <w:szCs w:val="20"/>
        </w:rPr>
      </w:pPr>
    </w:p>
    <w:p w14:paraId="723806AE" w14:textId="454E2C82" w:rsidR="00921DDF" w:rsidRPr="00921DDF" w:rsidRDefault="00AC7038" w:rsidP="001969B0">
      <w:pPr>
        <w:pStyle w:val="1"/>
      </w:pPr>
      <w:r w:rsidRPr="00AC7038">
        <w:t>ФИЗИКО-МЕХАНИЧЕСКИЕ СВОЙСТВА ЦЕМЕНТОВ</w:t>
      </w:r>
    </w:p>
    <w:p w14:paraId="3A022448" w14:textId="71BAD3B6" w:rsidR="00A9426C" w:rsidRDefault="00A9426C" w:rsidP="001969B0">
      <w:pPr>
        <w:spacing w:after="0" w:line="259" w:lineRule="auto"/>
        <w:ind w:left="10" w:right="0" w:hanging="10"/>
        <w:jc w:val="center"/>
      </w:pPr>
    </w:p>
    <w:p w14:paraId="70AE4B19" w14:textId="02D3CAFF" w:rsidR="000E63AB" w:rsidRDefault="00AC7038" w:rsidP="00454FED">
      <w:pPr>
        <w:ind w:left="-15" w:right="0"/>
        <w:rPr>
          <w:bCs/>
        </w:rPr>
      </w:pPr>
      <w:r w:rsidRPr="00AC7038">
        <w:rPr>
          <w:bCs/>
        </w:rPr>
        <w:t>России ежегодно образуется около 7 млрд. т промышленных отходов, при этом используется лишь 2 млрд. т или 28 %. Из общего объема используемых отходов около 80 % (вскрышные породы и отходы обогащения) направляются на закладку выработанного пространства шахт и карьеров, 2 % отходов используется в качестве топлива и минеральных удобрений и всего лишь 360 млн. т применяются в качестве возвратного сырья (из них 200 млн. т – в стройиндустрии). Сконцентрированные в отвалах и свалках отходы являются источниками загрязнения поверхностных и подземных вод, атмосферы, почвы и растений. При этом изымаются из хозяйственного оборота сотни тысяч гектаров земель. Между тем, в техногенных отходах сосредоточено огромное количество различных сырьевых материалов [1-3].</w:t>
      </w:r>
    </w:p>
    <w:p w14:paraId="70ADDE4B" w14:textId="24C0E96A" w:rsidR="00AC7038" w:rsidRDefault="00AC7038" w:rsidP="00454FED">
      <w:pPr>
        <w:ind w:left="-15" w:right="0"/>
        <w:rPr>
          <w:bCs/>
        </w:rPr>
      </w:pPr>
      <w:r w:rsidRPr="00AC7038">
        <w:rPr>
          <w:bCs/>
        </w:rPr>
        <w:t>Ниже представлены свойства цементных композиций, модифицированных отходами производства минеральной ваты и физико-механические показатели композитов на их основе (рис</w:t>
      </w:r>
      <w:r>
        <w:rPr>
          <w:bCs/>
        </w:rPr>
        <w:t>.</w:t>
      </w:r>
      <w:r w:rsidRPr="00AC7038">
        <w:rPr>
          <w:bCs/>
        </w:rPr>
        <w:t xml:space="preserve"> 1).</w:t>
      </w:r>
    </w:p>
    <w:p w14:paraId="53C3C979" w14:textId="6E9866A4" w:rsidR="00AC7038" w:rsidRDefault="00AC7038" w:rsidP="0066551E">
      <w:pPr>
        <w:ind w:left="-15" w:right="0"/>
        <w:rPr>
          <w:bCs/>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
        <w:gridCol w:w="2640"/>
        <w:gridCol w:w="286"/>
        <w:gridCol w:w="2640"/>
      </w:tblGrid>
      <w:tr w:rsidR="00AC7038" w:rsidRPr="00AC7038" w14:paraId="2656103D" w14:textId="77777777" w:rsidTr="00AC7038">
        <w:trPr>
          <w:cantSplit/>
          <w:trHeight w:val="1134"/>
          <w:jc w:val="center"/>
        </w:trPr>
        <w:tc>
          <w:tcPr>
            <w:tcW w:w="0" w:type="auto"/>
          </w:tcPr>
          <w:p w14:paraId="6FBE6CF5" w14:textId="0E4270AE" w:rsidR="00AC7038" w:rsidRPr="00AC7038" w:rsidRDefault="00AC7038" w:rsidP="00AC7038">
            <w:pPr>
              <w:ind w:right="0" w:firstLine="0"/>
              <w:rPr>
                <w:bCs/>
                <w:i/>
                <w:iCs/>
                <w:sz w:val="18"/>
                <w:szCs w:val="20"/>
              </w:rPr>
            </w:pPr>
            <w:r>
              <w:rPr>
                <w:bCs/>
                <w:i/>
                <w:iCs/>
                <w:sz w:val="18"/>
                <w:szCs w:val="20"/>
              </w:rPr>
              <w:t>а)</w:t>
            </w:r>
          </w:p>
        </w:tc>
        <w:tc>
          <w:tcPr>
            <w:tcW w:w="0" w:type="auto"/>
          </w:tcPr>
          <w:p w14:paraId="7766F441" w14:textId="346A1991" w:rsidR="00AC7038" w:rsidRPr="00AC7038" w:rsidRDefault="00AC7038" w:rsidP="00AC7038">
            <w:pPr>
              <w:ind w:right="0" w:firstLine="0"/>
              <w:rPr>
                <w:bCs/>
                <w:i/>
                <w:iCs/>
                <w:sz w:val="18"/>
                <w:szCs w:val="20"/>
              </w:rPr>
            </w:pPr>
            <w:r>
              <w:rPr>
                <w:noProof/>
              </w:rPr>
              <w:drawing>
                <wp:inline distT="0" distB="0" distL="0" distR="0" wp14:anchorId="65638EC3" wp14:editId="141978BC">
                  <wp:extent cx="1676400" cy="1295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2243" t="21777" r="63319" b="44633"/>
                          <a:stretch/>
                        </pic:blipFill>
                        <pic:spPr bwMode="auto">
                          <a:xfrm>
                            <a:off x="0" y="0"/>
                            <a:ext cx="1681292" cy="1299180"/>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14:paraId="43B54831" w14:textId="4B36228E" w:rsidR="00AC7038" w:rsidRPr="00AC7038" w:rsidRDefault="00AC7038" w:rsidP="00AC7038">
            <w:pPr>
              <w:ind w:right="0" w:firstLine="0"/>
              <w:rPr>
                <w:bCs/>
                <w:i/>
                <w:iCs/>
                <w:sz w:val="18"/>
                <w:szCs w:val="20"/>
              </w:rPr>
            </w:pPr>
            <w:r>
              <w:rPr>
                <w:bCs/>
                <w:i/>
                <w:iCs/>
                <w:sz w:val="18"/>
                <w:szCs w:val="20"/>
              </w:rPr>
              <w:t xml:space="preserve">   б)</w:t>
            </w:r>
          </w:p>
        </w:tc>
        <w:tc>
          <w:tcPr>
            <w:tcW w:w="0" w:type="auto"/>
          </w:tcPr>
          <w:p w14:paraId="1C9F4CE8" w14:textId="37D80326" w:rsidR="00AC7038" w:rsidRPr="00AC7038" w:rsidRDefault="00AC7038" w:rsidP="00AC7038">
            <w:pPr>
              <w:ind w:right="0" w:firstLine="0"/>
              <w:rPr>
                <w:bCs/>
                <w:i/>
                <w:iCs/>
                <w:sz w:val="18"/>
                <w:szCs w:val="20"/>
              </w:rPr>
            </w:pPr>
            <w:r>
              <w:rPr>
                <w:noProof/>
              </w:rPr>
              <w:drawing>
                <wp:inline distT="0" distB="0" distL="0" distR="0" wp14:anchorId="74FD9B99" wp14:editId="064D2FB5">
                  <wp:extent cx="1676400" cy="1295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681" t="22518" r="38881" b="43892"/>
                          <a:stretch/>
                        </pic:blipFill>
                        <pic:spPr bwMode="auto">
                          <a:xfrm>
                            <a:off x="0" y="0"/>
                            <a:ext cx="1681292" cy="12991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A6A6CC" w14:textId="09A90FF1" w:rsidR="00AC7038" w:rsidRDefault="00AC7038" w:rsidP="00AC7038">
      <w:pPr>
        <w:ind w:left="-15" w:right="0"/>
        <w:jc w:val="center"/>
        <w:rPr>
          <w:bCs/>
        </w:rPr>
      </w:pPr>
      <w:r>
        <w:rPr>
          <w:sz w:val="18"/>
          <w:szCs w:val="18"/>
        </w:rPr>
        <w:t>Рис</w:t>
      </w:r>
      <w:r>
        <w:rPr>
          <w:sz w:val="18"/>
          <w:szCs w:val="18"/>
        </w:rPr>
        <w:t>.</w:t>
      </w:r>
      <w:r>
        <w:rPr>
          <w:sz w:val="18"/>
          <w:szCs w:val="18"/>
        </w:rPr>
        <w:t xml:space="preserve"> 1. Форма частиц отходов производства минеральной ваты фракций: </w:t>
      </w:r>
      <w:r>
        <w:rPr>
          <w:i/>
          <w:iCs/>
          <w:sz w:val="18"/>
          <w:szCs w:val="18"/>
        </w:rPr>
        <w:t xml:space="preserve">а </w:t>
      </w:r>
      <w:r>
        <w:rPr>
          <w:sz w:val="18"/>
          <w:szCs w:val="18"/>
        </w:rPr>
        <w:t>– 0,63</w:t>
      </w:r>
      <w:r>
        <w:rPr>
          <w:sz w:val="18"/>
          <w:szCs w:val="18"/>
        </w:rPr>
        <w:t>-</w:t>
      </w:r>
      <w:r>
        <w:rPr>
          <w:sz w:val="18"/>
          <w:szCs w:val="18"/>
        </w:rPr>
        <w:t xml:space="preserve">1,25; </w:t>
      </w:r>
      <w:r>
        <w:rPr>
          <w:i/>
          <w:iCs/>
          <w:sz w:val="18"/>
          <w:szCs w:val="18"/>
        </w:rPr>
        <w:t xml:space="preserve">б </w:t>
      </w:r>
      <w:r>
        <w:rPr>
          <w:sz w:val="18"/>
          <w:szCs w:val="18"/>
        </w:rPr>
        <w:t>– 0,315</w:t>
      </w:r>
      <w:r>
        <w:rPr>
          <w:sz w:val="18"/>
          <w:szCs w:val="18"/>
        </w:rPr>
        <w:t>-</w:t>
      </w:r>
      <w:r>
        <w:rPr>
          <w:sz w:val="18"/>
          <w:szCs w:val="18"/>
        </w:rPr>
        <w:t>0,63</w:t>
      </w:r>
    </w:p>
    <w:p w14:paraId="576A5128" w14:textId="35D54DFE" w:rsidR="00AC7038" w:rsidRDefault="00AC7038" w:rsidP="00AC7038">
      <w:pPr>
        <w:ind w:left="-15" w:right="0"/>
        <w:jc w:val="center"/>
        <w:rPr>
          <w:bCs/>
        </w:rPr>
      </w:pPr>
    </w:p>
    <w:p w14:paraId="7FBF8D7C" w14:textId="77777777" w:rsidR="00AC7038" w:rsidRDefault="00AC7038" w:rsidP="00AC7038">
      <w:pPr>
        <w:pStyle w:val="Default"/>
        <w:ind w:firstLine="426"/>
        <w:jc w:val="both"/>
        <w:rPr>
          <w:sz w:val="20"/>
          <w:szCs w:val="20"/>
        </w:rPr>
      </w:pPr>
      <w:r>
        <w:rPr>
          <w:sz w:val="20"/>
          <w:szCs w:val="20"/>
        </w:rPr>
        <w:lastRenderedPageBreak/>
        <w:t xml:space="preserve">ТЕКСТ. ТЕКСТ </w:t>
      </w:r>
      <w:proofErr w:type="spellStart"/>
      <w:r>
        <w:rPr>
          <w:sz w:val="20"/>
          <w:szCs w:val="20"/>
        </w:rPr>
        <w:t>ТЕКСТ</w:t>
      </w:r>
      <w:proofErr w:type="spellEnd"/>
      <w:r>
        <w:rPr>
          <w:sz w:val="20"/>
          <w:szCs w:val="20"/>
        </w:rPr>
        <w:t xml:space="preserve">. ТЕКСТ. ТЕКСТ. ТЕКСТ. ТЕКСТ </w:t>
      </w:r>
      <w:proofErr w:type="spellStart"/>
      <w:r>
        <w:rPr>
          <w:sz w:val="20"/>
          <w:szCs w:val="20"/>
        </w:rPr>
        <w:t>ТЕКСТ</w:t>
      </w:r>
      <w:proofErr w:type="spellEnd"/>
      <w:r>
        <w:rPr>
          <w:sz w:val="20"/>
          <w:szCs w:val="20"/>
        </w:rPr>
        <w:t xml:space="preserve">. ТЕКСТ. ТЕКСТ. ТЕКСТ. ТЕКСТ </w:t>
      </w:r>
      <w:proofErr w:type="spellStart"/>
      <w:r>
        <w:rPr>
          <w:sz w:val="20"/>
          <w:szCs w:val="20"/>
        </w:rPr>
        <w:t>ТЕКСТ</w:t>
      </w:r>
      <w:proofErr w:type="spellEnd"/>
      <w:r>
        <w:rPr>
          <w:sz w:val="20"/>
          <w:szCs w:val="20"/>
        </w:rPr>
        <w:t xml:space="preserve">. ТЕКСТ. ТЕКСТ. Результаты представлены в таблице 1. </w:t>
      </w:r>
    </w:p>
    <w:p w14:paraId="72A3D60A" w14:textId="77777777" w:rsidR="00AC7038" w:rsidRPr="00AC7038" w:rsidRDefault="00AC7038" w:rsidP="00AC7038">
      <w:pPr>
        <w:pStyle w:val="Default"/>
        <w:jc w:val="right"/>
        <w:rPr>
          <w:i/>
          <w:iCs/>
          <w:sz w:val="20"/>
          <w:szCs w:val="20"/>
        </w:rPr>
      </w:pPr>
      <w:r w:rsidRPr="00AC7038">
        <w:rPr>
          <w:i/>
          <w:iCs/>
          <w:sz w:val="20"/>
          <w:szCs w:val="20"/>
        </w:rPr>
        <w:t xml:space="preserve">Таблица 1 </w:t>
      </w:r>
    </w:p>
    <w:p w14:paraId="4F46BCC8" w14:textId="1257318D" w:rsidR="00AC7038" w:rsidRPr="00AC7038" w:rsidRDefault="00AC7038" w:rsidP="00AC7038">
      <w:pPr>
        <w:ind w:left="-15" w:right="0" w:firstLine="15"/>
        <w:jc w:val="center"/>
        <w:rPr>
          <w:b/>
          <w:bCs/>
        </w:rPr>
      </w:pPr>
      <w:r w:rsidRPr="00AC7038">
        <w:rPr>
          <w:b/>
          <w:bCs/>
          <w:szCs w:val="20"/>
        </w:rPr>
        <w:t>Результаты исследования</w:t>
      </w:r>
    </w:p>
    <w:tbl>
      <w:tblPr>
        <w:tblStyle w:val="a4"/>
        <w:tblW w:w="0" w:type="auto"/>
        <w:tblInd w:w="-15" w:type="dxa"/>
        <w:tblLook w:val="04A0" w:firstRow="1" w:lastRow="0" w:firstColumn="1" w:lastColumn="0" w:noHBand="0" w:noVBand="1"/>
      </w:tblPr>
      <w:tblGrid>
        <w:gridCol w:w="1529"/>
        <w:gridCol w:w="1529"/>
        <w:gridCol w:w="1529"/>
        <w:gridCol w:w="1529"/>
      </w:tblGrid>
      <w:tr w:rsidR="00AC7038" w14:paraId="048381D0" w14:textId="77777777" w:rsidTr="00CF2DFD">
        <w:tc>
          <w:tcPr>
            <w:tcW w:w="1529" w:type="dxa"/>
          </w:tcPr>
          <w:p w14:paraId="279C0702" w14:textId="009592B3" w:rsidR="00AC7038" w:rsidRDefault="00AC7038" w:rsidP="00AC7038">
            <w:pPr>
              <w:ind w:right="0" w:firstLine="0"/>
              <w:jc w:val="center"/>
              <w:rPr>
                <w:bCs/>
              </w:rPr>
            </w:pPr>
            <w:r w:rsidRPr="00022776">
              <w:rPr>
                <w:szCs w:val="20"/>
              </w:rPr>
              <w:t>ТЕКСТ</w:t>
            </w:r>
          </w:p>
        </w:tc>
        <w:tc>
          <w:tcPr>
            <w:tcW w:w="1529" w:type="dxa"/>
          </w:tcPr>
          <w:p w14:paraId="27C59073" w14:textId="29037ABC" w:rsidR="00AC7038" w:rsidRDefault="00AC7038" w:rsidP="00AC7038">
            <w:pPr>
              <w:ind w:right="0" w:firstLine="0"/>
              <w:jc w:val="center"/>
              <w:rPr>
                <w:bCs/>
              </w:rPr>
            </w:pPr>
            <w:r w:rsidRPr="00022776">
              <w:rPr>
                <w:szCs w:val="20"/>
              </w:rPr>
              <w:t>ТЕКСТ</w:t>
            </w:r>
          </w:p>
        </w:tc>
        <w:tc>
          <w:tcPr>
            <w:tcW w:w="1529" w:type="dxa"/>
          </w:tcPr>
          <w:p w14:paraId="61435282" w14:textId="56053FDB" w:rsidR="00AC7038" w:rsidRDefault="00AC7038" w:rsidP="00AC7038">
            <w:pPr>
              <w:ind w:right="0" w:firstLine="0"/>
              <w:jc w:val="center"/>
              <w:rPr>
                <w:bCs/>
              </w:rPr>
            </w:pPr>
            <w:r w:rsidRPr="00022776">
              <w:rPr>
                <w:szCs w:val="20"/>
              </w:rPr>
              <w:t>ТЕКСТ</w:t>
            </w:r>
          </w:p>
        </w:tc>
        <w:tc>
          <w:tcPr>
            <w:tcW w:w="1529" w:type="dxa"/>
          </w:tcPr>
          <w:p w14:paraId="6EC1310C" w14:textId="2EE5C789" w:rsidR="00AC7038" w:rsidRDefault="00AC7038" w:rsidP="00AC7038">
            <w:pPr>
              <w:ind w:right="0" w:firstLine="0"/>
              <w:jc w:val="center"/>
              <w:rPr>
                <w:bCs/>
              </w:rPr>
            </w:pPr>
            <w:r w:rsidRPr="00022776">
              <w:rPr>
                <w:szCs w:val="20"/>
              </w:rPr>
              <w:t>ТЕКСТ</w:t>
            </w:r>
          </w:p>
        </w:tc>
      </w:tr>
      <w:tr w:rsidR="00AC7038" w14:paraId="0677B4B8" w14:textId="77777777" w:rsidTr="00CF2DFD">
        <w:tc>
          <w:tcPr>
            <w:tcW w:w="1529" w:type="dxa"/>
          </w:tcPr>
          <w:p w14:paraId="4417C421" w14:textId="0529A09E" w:rsidR="00AC7038" w:rsidRDefault="00AC7038" w:rsidP="00AC7038">
            <w:pPr>
              <w:ind w:right="0" w:firstLine="0"/>
              <w:jc w:val="center"/>
              <w:rPr>
                <w:bCs/>
              </w:rPr>
            </w:pPr>
            <w:r w:rsidRPr="00022776">
              <w:rPr>
                <w:szCs w:val="20"/>
              </w:rPr>
              <w:t>ТЕКСТ</w:t>
            </w:r>
          </w:p>
        </w:tc>
        <w:tc>
          <w:tcPr>
            <w:tcW w:w="1529" w:type="dxa"/>
          </w:tcPr>
          <w:p w14:paraId="5ECC0F56" w14:textId="05883927" w:rsidR="00AC7038" w:rsidRDefault="00AC7038" w:rsidP="00AC7038">
            <w:pPr>
              <w:ind w:right="0" w:firstLine="0"/>
              <w:jc w:val="center"/>
              <w:rPr>
                <w:bCs/>
              </w:rPr>
            </w:pPr>
            <w:r w:rsidRPr="00022776">
              <w:rPr>
                <w:szCs w:val="20"/>
              </w:rPr>
              <w:t>ТЕКСТ</w:t>
            </w:r>
          </w:p>
        </w:tc>
        <w:tc>
          <w:tcPr>
            <w:tcW w:w="1529" w:type="dxa"/>
          </w:tcPr>
          <w:p w14:paraId="55753EEB" w14:textId="226F9CF9" w:rsidR="00AC7038" w:rsidRDefault="00AC7038" w:rsidP="00AC7038">
            <w:pPr>
              <w:ind w:right="0" w:firstLine="0"/>
              <w:jc w:val="center"/>
              <w:rPr>
                <w:bCs/>
              </w:rPr>
            </w:pPr>
            <w:r w:rsidRPr="00022776">
              <w:rPr>
                <w:szCs w:val="20"/>
              </w:rPr>
              <w:t>ТЕКСТ</w:t>
            </w:r>
          </w:p>
        </w:tc>
        <w:tc>
          <w:tcPr>
            <w:tcW w:w="1529" w:type="dxa"/>
          </w:tcPr>
          <w:p w14:paraId="0DFB8DB3" w14:textId="4024ACC2" w:rsidR="00AC7038" w:rsidRDefault="00AC7038" w:rsidP="00AC7038">
            <w:pPr>
              <w:ind w:right="0" w:firstLine="0"/>
              <w:jc w:val="center"/>
              <w:rPr>
                <w:bCs/>
              </w:rPr>
            </w:pPr>
            <w:r w:rsidRPr="00022776">
              <w:rPr>
                <w:szCs w:val="20"/>
              </w:rPr>
              <w:t>ТЕКСТ</w:t>
            </w:r>
          </w:p>
        </w:tc>
      </w:tr>
    </w:tbl>
    <w:p w14:paraId="12912465" w14:textId="77777777" w:rsidR="00AC7038" w:rsidRDefault="00AC7038" w:rsidP="0066551E">
      <w:pPr>
        <w:ind w:left="-15" w:right="0"/>
        <w:rPr>
          <w:bCs/>
        </w:rPr>
      </w:pPr>
    </w:p>
    <w:p w14:paraId="2F201661" w14:textId="77777777" w:rsidR="00AC7038" w:rsidRPr="00AC7038" w:rsidRDefault="00AC7038" w:rsidP="00AC7038">
      <w:pPr>
        <w:ind w:left="-15" w:right="0"/>
        <w:rPr>
          <w:bCs/>
        </w:rPr>
      </w:pPr>
      <w:r w:rsidRPr="00AC7038">
        <w:rPr>
          <w:bCs/>
        </w:rPr>
        <w:t>С позиции обеспечения получения материалов с нормативными и улучшенными свойствами в результате проведенных</w:t>
      </w:r>
    </w:p>
    <w:p w14:paraId="55931C47" w14:textId="7D075B14" w:rsidR="00884955" w:rsidRDefault="00AC7038" w:rsidP="00AC7038">
      <w:pPr>
        <w:ind w:left="-15" w:right="0"/>
        <w:rPr>
          <w:bCs/>
        </w:rPr>
      </w:pPr>
      <w:r w:rsidRPr="00AC7038">
        <w:rPr>
          <w:bCs/>
        </w:rPr>
        <w:t>исследований подтверждена возможность использования отходов производства минеральной ваты в качестве активной минеральной добавки для цемента, а также установлено рациональное содержание составляющих компонентов в цементе.</w:t>
      </w:r>
    </w:p>
    <w:p w14:paraId="0DA8F286" w14:textId="77777777" w:rsidR="00884955" w:rsidRPr="00BA38C4" w:rsidRDefault="00884955" w:rsidP="00405FA5">
      <w:pPr>
        <w:ind w:left="-15" w:right="0"/>
      </w:pPr>
    </w:p>
    <w:p w14:paraId="2990C0D2" w14:textId="77777777" w:rsidR="00A9426C" w:rsidRDefault="00944658">
      <w:pPr>
        <w:pStyle w:val="1"/>
        <w:ind w:right="5"/>
      </w:pPr>
      <w:r>
        <w:t xml:space="preserve">БИБЛИОГРАФИЧЕСКИЙ СПИСОК </w:t>
      </w:r>
    </w:p>
    <w:p w14:paraId="0AB640CA" w14:textId="77777777" w:rsidR="00AC7038" w:rsidRPr="00AC7038" w:rsidRDefault="00AC7038" w:rsidP="00AC7038">
      <w:pPr>
        <w:ind w:right="0" w:firstLine="426"/>
      </w:pPr>
    </w:p>
    <w:p w14:paraId="0CE03BEF" w14:textId="77777777" w:rsidR="00AC7038" w:rsidRPr="00AC7038" w:rsidRDefault="00AC7038" w:rsidP="00AC7038">
      <w:pPr>
        <w:ind w:right="0" w:firstLine="426"/>
      </w:pPr>
      <w:r w:rsidRPr="00AC7038">
        <w:t xml:space="preserve">1. Вдовина Е.В. Получение керамического кирпича на основе </w:t>
      </w:r>
      <w:proofErr w:type="spellStart"/>
      <w:r w:rsidRPr="00AC7038">
        <w:t>бейделлитовой</w:t>
      </w:r>
      <w:proofErr w:type="spellEnd"/>
      <w:r w:rsidRPr="00AC7038">
        <w:t xml:space="preserve"> глины и отходов минеральной </w:t>
      </w:r>
      <w:proofErr w:type="gramStart"/>
      <w:r w:rsidRPr="00AC7038">
        <w:t>ваты :</w:t>
      </w:r>
      <w:proofErr w:type="gramEnd"/>
      <w:r w:rsidRPr="00AC7038">
        <w:t xml:space="preserve"> </w:t>
      </w:r>
      <w:proofErr w:type="spellStart"/>
      <w:r w:rsidRPr="00AC7038">
        <w:t>дис</w:t>
      </w:r>
      <w:proofErr w:type="spellEnd"/>
      <w:r w:rsidRPr="00AC7038">
        <w:t xml:space="preserve">. … канд. техн. наук. Самара, 2011. 166 с. </w:t>
      </w:r>
    </w:p>
    <w:p w14:paraId="1167FC4B" w14:textId="7F97CB32" w:rsidR="00AC7038" w:rsidRPr="00AC7038" w:rsidRDefault="00AC7038" w:rsidP="00AC7038">
      <w:pPr>
        <w:ind w:right="0" w:firstLine="426"/>
      </w:pPr>
      <w:r w:rsidRPr="00AC7038">
        <w:t xml:space="preserve">2. </w:t>
      </w:r>
      <w:proofErr w:type="spellStart"/>
      <w:r w:rsidRPr="00AC7038">
        <w:t>Пальгунов</w:t>
      </w:r>
      <w:proofErr w:type="spellEnd"/>
      <w:r w:rsidRPr="00AC7038">
        <w:t xml:space="preserve"> П.П., Сумароков М.В. Утилизация промышленных отходов. </w:t>
      </w:r>
      <w:r>
        <w:t xml:space="preserve">– </w:t>
      </w:r>
      <w:r w:rsidRPr="00AC7038">
        <w:t xml:space="preserve">М.: Стройиздат. 1990. 352 с. </w:t>
      </w:r>
    </w:p>
    <w:p w14:paraId="5D469320" w14:textId="22AC1754" w:rsidR="00AC7038" w:rsidRPr="00AC7038" w:rsidRDefault="00AC7038" w:rsidP="00AC7038">
      <w:pPr>
        <w:ind w:right="0" w:firstLine="426"/>
      </w:pPr>
      <w:r w:rsidRPr="00AC7038">
        <w:t xml:space="preserve">3. Нефедова И.Н., Крашенинникова Н.С., Гарбер Е.Г. Отходы производства минеральной ваты как техногенное сырье // Химия и химическая технология неорганических веществ и материалов: материалы Третьей науч. </w:t>
      </w:r>
      <w:proofErr w:type="spellStart"/>
      <w:r>
        <w:t>к</w:t>
      </w:r>
      <w:r w:rsidRPr="00AC7038">
        <w:t>онф</w:t>
      </w:r>
      <w:proofErr w:type="spellEnd"/>
      <w:r w:rsidRPr="00AC7038">
        <w:t xml:space="preserve">. </w:t>
      </w:r>
      <w:proofErr w:type="gramStart"/>
      <w:r w:rsidRPr="00AC7038">
        <w:t>Томск :</w:t>
      </w:r>
      <w:proofErr w:type="gramEnd"/>
      <w:r w:rsidRPr="00AC7038">
        <w:t xml:space="preserve"> Изд-во Том</w:t>
      </w:r>
      <w:r>
        <w:t>с</w:t>
      </w:r>
      <w:r w:rsidRPr="00AC7038">
        <w:t xml:space="preserve">кого политех. ун-та, 2011. С. 33-34. </w:t>
      </w:r>
    </w:p>
    <w:p w14:paraId="77871035" w14:textId="002B9D79" w:rsidR="00AC7038" w:rsidRPr="00AC7038" w:rsidRDefault="00AC7038" w:rsidP="00AC7038">
      <w:pPr>
        <w:ind w:right="0" w:firstLine="426"/>
      </w:pPr>
      <w:r w:rsidRPr="00AC7038">
        <w:t xml:space="preserve">4. Баженов Ю.М. Технология бетона: учеб. пособие. </w:t>
      </w:r>
      <w:r>
        <w:t xml:space="preserve">– </w:t>
      </w:r>
      <w:r w:rsidRPr="00AC7038">
        <w:t xml:space="preserve">М.: Высшая школа, 1987. 415 с. </w:t>
      </w:r>
    </w:p>
    <w:p w14:paraId="1385BC70" w14:textId="1CC1028E" w:rsidR="00AC7038" w:rsidRDefault="00AC7038" w:rsidP="00AC7038">
      <w:pPr>
        <w:ind w:right="0" w:firstLine="426"/>
      </w:pPr>
      <w:r w:rsidRPr="00AC7038">
        <w:t xml:space="preserve">5. Ерофеев В.Т., Баженов Ю.М., </w:t>
      </w:r>
      <w:proofErr w:type="spellStart"/>
      <w:r w:rsidRPr="00AC7038">
        <w:t>Балатханова</w:t>
      </w:r>
      <w:proofErr w:type="spellEnd"/>
      <w:r w:rsidRPr="00AC7038">
        <w:t xml:space="preserve"> Э.М., Митина Е.А., Емельянов Д.В., Родин А.И., Карпушин С.Н. Получение и физико-механические свойства цементных композитов с применением наполнителей и воды </w:t>
      </w:r>
      <w:proofErr w:type="spellStart"/>
      <w:r w:rsidRPr="00AC7038">
        <w:t>затворения</w:t>
      </w:r>
      <w:proofErr w:type="spellEnd"/>
      <w:r w:rsidRPr="00AC7038">
        <w:t xml:space="preserve"> месторождений чеченской республики // Вестник МГСУ. 2014. № 12. С. 141-151. </w:t>
      </w:r>
    </w:p>
    <w:p w14:paraId="6A01BEE2" w14:textId="77777777" w:rsidR="00AC7038" w:rsidRPr="00AC7038" w:rsidRDefault="00AC7038" w:rsidP="00AC7038">
      <w:pPr>
        <w:ind w:right="0" w:firstLine="426"/>
      </w:pPr>
      <w:bookmarkStart w:id="0" w:name="_GoBack"/>
      <w:bookmarkEnd w:id="0"/>
      <w:r w:rsidRPr="00AC7038">
        <w:t xml:space="preserve">6. Ерофеев В.Т., Калашников В.И., Смирнов В.Ф., Карпушин С.Н., Родин А.И., Красноглазов А.М., </w:t>
      </w:r>
      <w:proofErr w:type="spellStart"/>
      <w:r w:rsidRPr="00AC7038">
        <w:t>Челмакин</w:t>
      </w:r>
      <w:proofErr w:type="spellEnd"/>
      <w:r w:rsidRPr="00AC7038">
        <w:t xml:space="preserve"> А.Ю. Стойкость цементных композитов на биоцидном портландцементе с активной минеральной </w:t>
      </w:r>
      <w:r w:rsidRPr="00AC7038">
        <w:lastRenderedPageBreak/>
        <w:t xml:space="preserve">добавкой в условиях воздействия модельной среды бактерий // Промышленное и гражданское строительство. 2016. № 1. С. 11–17. </w:t>
      </w:r>
    </w:p>
    <w:p w14:paraId="6004CF66" w14:textId="77777777" w:rsidR="00AC7038" w:rsidRPr="00AC7038" w:rsidRDefault="00AC7038" w:rsidP="00AC7038">
      <w:pPr>
        <w:ind w:right="0" w:firstLine="426"/>
        <w:rPr>
          <w:lang w:val="en-US"/>
        </w:rPr>
      </w:pPr>
      <w:r w:rsidRPr="00AC7038">
        <w:t xml:space="preserve">7. Ерофеев В.Т., Родин А.И., Богатов А.Д., Казначеев С.В., Смирнов В.Ф., Светлов Д.А. Физико-механические свойства и </w:t>
      </w:r>
      <w:proofErr w:type="spellStart"/>
      <w:r w:rsidRPr="00AC7038">
        <w:t>биостойкость</w:t>
      </w:r>
      <w:proofErr w:type="spellEnd"/>
      <w:r w:rsidRPr="00AC7038">
        <w:t xml:space="preserve"> цементов, модифицированных сернокислым натрием, фтористым натрием и </w:t>
      </w:r>
      <w:proofErr w:type="spellStart"/>
      <w:r w:rsidRPr="00AC7038">
        <w:t>полигексаметиленгуанидин</w:t>
      </w:r>
      <w:proofErr w:type="spellEnd"/>
      <w:r w:rsidRPr="00AC7038">
        <w:t xml:space="preserve"> </w:t>
      </w:r>
      <w:proofErr w:type="spellStart"/>
      <w:r w:rsidRPr="00AC7038">
        <w:t>стеаратом</w:t>
      </w:r>
      <w:proofErr w:type="spellEnd"/>
      <w:r w:rsidRPr="00AC7038">
        <w:t xml:space="preserve"> // Известия </w:t>
      </w:r>
      <w:proofErr w:type="spellStart"/>
      <w:r w:rsidRPr="00AC7038">
        <w:t>ТулГУ</w:t>
      </w:r>
      <w:proofErr w:type="spellEnd"/>
      <w:r w:rsidRPr="00AC7038">
        <w:t>. Технические</w:t>
      </w:r>
      <w:r w:rsidRPr="00AC7038">
        <w:rPr>
          <w:lang w:val="en-US"/>
        </w:rPr>
        <w:t xml:space="preserve"> </w:t>
      </w:r>
      <w:r w:rsidRPr="00AC7038">
        <w:t>науки</w:t>
      </w:r>
      <w:r w:rsidRPr="00AC7038">
        <w:rPr>
          <w:lang w:val="en-US"/>
        </w:rPr>
        <w:t xml:space="preserve">. </w:t>
      </w:r>
      <w:proofErr w:type="spellStart"/>
      <w:r w:rsidRPr="00AC7038">
        <w:t>Вып</w:t>
      </w:r>
      <w:proofErr w:type="spellEnd"/>
      <w:r w:rsidRPr="00AC7038">
        <w:rPr>
          <w:lang w:val="en-US"/>
        </w:rPr>
        <w:t xml:space="preserve">. 7. </w:t>
      </w:r>
      <w:proofErr w:type="gramStart"/>
      <w:r w:rsidRPr="00AC7038">
        <w:t>Тула</w:t>
      </w:r>
      <w:r w:rsidRPr="00AC7038">
        <w:rPr>
          <w:lang w:val="en-US"/>
        </w:rPr>
        <w:t xml:space="preserve"> :</w:t>
      </w:r>
      <w:proofErr w:type="gramEnd"/>
      <w:r w:rsidRPr="00AC7038">
        <w:rPr>
          <w:lang w:val="en-US"/>
        </w:rPr>
        <w:t xml:space="preserve"> </w:t>
      </w:r>
      <w:proofErr w:type="spellStart"/>
      <w:r w:rsidRPr="00AC7038">
        <w:t>Изд</w:t>
      </w:r>
      <w:proofErr w:type="spellEnd"/>
      <w:r w:rsidRPr="00AC7038">
        <w:rPr>
          <w:lang w:val="en-US"/>
        </w:rPr>
        <w:t>-</w:t>
      </w:r>
      <w:r w:rsidRPr="00AC7038">
        <w:t>во</w:t>
      </w:r>
      <w:r w:rsidRPr="00AC7038">
        <w:rPr>
          <w:lang w:val="en-US"/>
        </w:rPr>
        <w:t xml:space="preserve"> </w:t>
      </w:r>
      <w:proofErr w:type="spellStart"/>
      <w:r w:rsidRPr="00AC7038">
        <w:t>ТулГУ</w:t>
      </w:r>
      <w:proofErr w:type="spellEnd"/>
      <w:r w:rsidRPr="00AC7038">
        <w:rPr>
          <w:lang w:val="en-US"/>
        </w:rPr>
        <w:t xml:space="preserve">, 2012. </w:t>
      </w:r>
      <w:r w:rsidRPr="00AC7038">
        <w:t>Ч</w:t>
      </w:r>
      <w:r w:rsidRPr="00AC7038">
        <w:rPr>
          <w:lang w:val="en-US"/>
        </w:rPr>
        <w:t xml:space="preserve">. 2. </w:t>
      </w:r>
      <w:r w:rsidRPr="00AC7038">
        <w:t>С</w:t>
      </w:r>
      <w:r w:rsidRPr="00AC7038">
        <w:rPr>
          <w:lang w:val="en-US"/>
        </w:rPr>
        <w:t xml:space="preserve">. 292-309. </w:t>
      </w:r>
    </w:p>
    <w:p w14:paraId="4731CB1B" w14:textId="77777777" w:rsidR="00AC7038" w:rsidRPr="00AC7038" w:rsidRDefault="00AC7038" w:rsidP="00AC7038">
      <w:pPr>
        <w:ind w:right="0" w:firstLine="426"/>
        <w:rPr>
          <w:lang w:val="en-US"/>
        </w:rPr>
      </w:pPr>
      <w:r w:rsidRPr="00AC7038">
        <w:rPr>
          <w:lang w:val="en-US"/>
        </w:rPr>
        <w:t>8. Jansen D., Goetz-</w:t>
      </w:r>
      <w:proofErr w:type="spellStart"/>
      <w:r w:rsidRPr="00AC7038">
        <w:rPr>
          <w:lang w:val="en-US"/>
        </w:rPr>
        <w:t>Neunhoeffer</w:t>
      </w:r>
      <w:proofErr w:type="spellEnd"/>
      <w:r w:rsidRPr="00AC7038">
        <w:rPr>
          <w:lang w:val="en-US"/>
        </w:rPr>
        <w:t xml:space="preserve"> F., </w:t>
      </w:r>
      <w:proofErr w:type="spellStart"/>
      <w:r w:rsidRPr="00AC7038">
        <w:rPr>
          <w:lang w:val="en-US"/>
        </w:rPr>
        <w:t>Lothenbach</w:t>
      </w:r>
      <w:proofErr w:type="spellEnd"/>
      <w:r w:rsidRPr="00AC7038">
        <w:rPr>
          <w:lang w:val="en-US"/>
        </w:rPr>
        <w:t xml:space="preserve"> B., Neubauer J. The early hydration of Ordinary Portland Cement (OPC): An approach </w:t>
      </w:r>
    </w:p>
    <w:p w14:paraId="5C499A4E" w14:textId="77777777" w:rsidR="00AC7038" w:rsidRPr="00AC7038" w:rsidRDefault="00AC7038" w:rsidP="00AC7038">
      <w:pPr>
        <w:ind w:right="0" w:firstLine="426"/>
        <w:rPr>
          <w:lang w:val="en-US"/>
        </w:rPr>
      </w:pPr>
      <w:r w:rsidRPr="00AC7038">
        <w:rPr>
          <w:lang w:val="en-US"/>
        </w:rPr>
        <w:t xml:space="preserve">comparing measured heat flow with calculated heat flow from QXRD // Cement and Concrete Research. 2012. Vol. 42. </w:t>
      </w:r>
      <w:proofErr w:type="spellStart"/>
      <w:r w:rsidRPr="00AC7038">
        <w:t>Рр</w:t>
      </w:r>
      <w:proofErr w:type="spellEnd"/>
      <w:r w:rsidRPr="00AC7038">
        <w:rPr>
          <w:lang w:val="en-US"/>
        </w:rPr>
        <w:t xml:space="preserve">. 134-138. </w:t>
      </w:r>
    </w:p>
    <w:p w14:paraId="0EB197D4" w14:textId="77777777" w:rsidR="00AC7038" w:rsidRPr="00AC7038" w:rsidRDefault="00AC7038" w:rsidP="00AC7038">
      <w:pPr>
        <w:ind w:right="0" w:firstLine="426"/>
        <w:rPr>
          <w:lang w:val="en-US"/>
        </w:rPr>
      </w:pPr>
      <w:r w:rsidRPr="00AC7038">
        <w:rPr>
          <w:lang w:val="en-US"/>
        </w:rPr>
        <w:t xml:space="preserve">9. Erofeev V., Kalashnikov V., Karpushin S., Rodin A., Smirnov V., Smirnova O., Moroz M., Rimshin V., Tretiakov I., Matvievskiy A. Physical and mechanical properties of the cement stone based on biocidal Portland cement with active mineral additive // Solid State Phenomena. 2016. Vol. 871. Pp. 28–32. </w:t>
      </w:r>
    </w:p>
    <w:p w14:paraId="4E1A4C4C" w14:textId="77777777" w:rsidR="00AC7038" w:rsidRPr="00AC7038" w:rsidRDefault="00AC7038" w:rsidP="00AC7038">
      <w:pPr>
        <w:ind w:right="0" w:firstLine="426"/>
      </w:pPr>
      <w:r w:rsidRPr="00AC7038">
        <w:rPr>
          <w:lang w:val="en-US"/>
        </w:rPr>
        <w:t xml:space="preserve">10. Erofeev V., Korotaev S., Bulgakov A., Tretiakov T., Rodin A. Getting Fired Material with Vitreous Binder Using Frame Technology // Procedia Engineering. </w:t>
      </w:r>
      <w:r w:rsidRPr="00AC7038">
        <w:t xml:space="preserve">2016. </w:t>
      </w:r>
      <w:proofErr w:type="spellStart"/>
      <w:r w:rsidRPr="00AC7038">
        <w:t>Vol</w:t>
      </w:r>
      <w:proofErr w:type="spellEnd"/>
      <w:r w:rsidRPr="00AC7038">
        <w:t xml:space="preserve">. 164. </w:t>
      </w:r>
      <w:proofErr w:type="spellStart"/>
      <w:r w:rsidRPr="00AC7038">
        <w:t>Pp</w:t>
      </w:r>
      <w:proofErr w:type="spellEnd"/>
      <w:r w:rsidRPr="00AC7038">
        <w:t xml:space="preserve">. 166-171. </w:t>
      </w:r>
    </w:p>
    <w:p w14:paraId="33955A17" w14:textId="61EDE6DC" w:rsidR="00AC7038" w:rsidRPr="00AC7038" w:rsidRDefault="00AC7038" w:rsidP="00AC7038">
      <w:pPr>
        <w:ind w:right="0" w:firstLine="426"/>
        <w:rPr>
          <w:lang w:val="en-US"/>
        </w:rPr>
      </w:pPr>
    </w:p>
    <w:p w14:paraId="338BBEF4" w14:textId="77777777" w:rsidR="00AC7038" w:rsidRPr="00AC7038" w:rsidRDefault="00AC7038" w:rsidP="00AC7038">
      <w:pPr>
        <w:ind w:right="0" w:firstLine="426"/>
        <w:rPr>
          <w:lang w:val="en-US"/>
        </w:rPr>
      </w:pPr>
    </w:p>
    <w:p w14:paraId="3E3C014E" w14:textId="26439BA1" w:rsidR="00C35B97" w:rsidRPr="004C360A" w:rsidRDefault="00C35B97" w:rsidP="00AC7038">
      <w:pPr>
        <w:ind w:right="0" w:firstLine="426"/>
        <w:rPr>
          <w:lang w:val="en-US"/>
        </w:rPr>
      </w:pPr>
    </w:p>
    <w:sectPr w:rsidR="00C35B97" w:rsidRPr="004C360A">
      <w:pgSz w:w="8390" w:h="11906"/>
      <w:pgMar w:top="1136" w:right="1131" w:bottom="181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6CED"/>
    <w:multiLevelType w:val="hybridMultilevel"/>
    <w:tmpl w:val="5E66F4A2"/>
    <w:lvl w:ilvl="0" w:tplc="FD2E9AD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A2F186">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76BC6A">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48FE7E">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EE0BB4">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80C306">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D67E3C">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CE95B8">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245C0">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4055C8"/>
    <w:multiLevelType w:val="hybridMultilevel"/>
    <w:tmpl w:val="572CC8B4"/>
    <w:lvl w:ilvl="0" w:tplc="5A3046E2">
      <w:start w:val="8"/>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8E971A">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109BF0">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8DC00">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4668C4">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3A779C">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A66232">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08AAF8">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DE0D50">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F87E88"/>
    <w:multiLevelType w:val="hybridMultilevel"/>
    <w:tmpl w:val="2E2474C2"/>
    <w:lvl w:ilvl="0" w:tplc="D9E6DFBE">
      <w:start w:val="1"/>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73B6705E"/>
    <w:multiLevelType w:val="hybridMultilevel"/>
    <w:tmpl w:val="2F2896DC"/>
    <w:lvl w:ilvl="0" w:tplc="FD2E9AD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A2F186">
      <w:start w:val="1"/>
      <w:numFmt w:val="lowerLetter"/>
      <w:lvlText w:val="%2"/>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76BC6A">
      <w:start w:val="1"/>
      <w:numFmt w:val="lowerRoman"/>
      <w:lvlText w:val="%3"/>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48FE7E">
      <w:start w:val="1"/>
      <w:numFmt w:val="decimal"/>
      <w:lvlText w:val="%4"/>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EE0BB4">
      <w:start w:val="1"/>
      <w:numFmt w:val="lowerLetter"/>
      <w:lvlText w:val="%5"/>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80C306">
      <w:start w:val="1"/>
      <w:numFmt w:val="lowerRoman"/>
      <w:lvlText w:val="%6"/>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D67E3C">
      <w:start w:val="1"/>
      <w:numFmt w:val="decimal"/>
      <w:lvlText w:val="%7"/>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9CE95B8">
      <w:start w:val="1"/>
      <w:numFmt w:val="lowerLetter"/>
      <w:lvlText w:val="%8"/>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5245C0">
      <w:start w:val="1"/>
      <w:numFmt w:val="lowerRoman"/>
      <w:lvlText w:val="%9"/>
      <w:lvlJc w:val="left"/>
      <w:pPr>
        <w:ind w:left="6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6C"/>
    <w:rsid w:val="00005A73"/>
    <w:rsid w:val="00031C49"/>
    <w:rsid w:val="00063250"/>
    <w:rsid w:val="000E0C4F"/>
    <w:rsid w:val="000E63AB"/>
    <w:rsid w:val="001217C2"/>
    <w:rsid w:val="00186491"/>
    <w:rsid w:val="001969B0"/>
    <w:rsid w:val="001A636B"/>
    <w:rsid w:val="001E17FC"/>
    <w:rsid w:val="002306A4"/>
    <w:rsid w:val="002534F4"/>
    <w:rsid w:val="002A54FC"/>
    <w:rsid w:val="002B62F2"/>
    <w:rsid w:val="002C7B7D"/>
    <w:rsid w:val="00346854"/>
    <w:rsid w:val="00353635"/>
    <w:rsid w:val="00395B62"/>
    <w:rsid w:val="003B0689"/>
    <w:rsid w:val="003C7381"/>
    <w:rsid w:val="003D594F"/>
    <w:rsid w:val="00405204"/>
    <w:rsid w:val="00405FA5"/>
    <w:rsid w:val="004127F2"/>
    <w:rsid w:val="00434626"/>
    <w:rsid w:val="00454FED"/>
    <w:rsid w:val="00472A68"/>
    <w:rsid w:val="004922CC"/>
    <w:rsid w:val="0049675D"/>
    <w:rsid w:val="004C360A"/>
    <w:rsid w:val="00513DD0"/>
    <w:rsid w:val="005155C0"/>
    <w:rsid w:val="00523EB9"/>
    <w:rsid w:val="00542653"/>
    <w:rsid w:val="00552CBB"/>
    <w:rsid w:val="005A4EA9"/>
    <w:rsid w:val="005B4E81"/>
    <w:rsid w:val="005D356C"/>
    <w:rsid w:val="00601E3F"/>
    <w:rsid w:val="00613EA5"/>
    <w:rsid w:val="006238DC"/>
    <w:rsid w:val="0066551E"/>
    <w:rsid w:val="00665810"/>
    <w:rsid w:val="006F2507"/>
    <w:rsid w:val="00712067"/>
    <w:rsid w:val="0072610C"/>
    <w:rsid w:val="00761D55"/>
    <w:rsid w:val="008305BE"/>
    <w:rsid w:val="00851B2D"/>
    <w:rsid w:val="00875933"/>
    <w:rsid w:val="00884955"/>
    <w:rsid w:val="008B34D8"/>
    <w:rsid w:val="008B4073"/>
    <w:rsid w:val="008B642A"/>
    <w:rsid w:val="008D534B"/>
    <w:rsid w:val="008E0910"/>
    <w:rsid w:val="008E5058"/>
    <w:rsid w:val="008F23CA"/>
    <w:rsid w:val="00910BCD"/>
    <w:rsid w:val="00921DDF"/>
    <w:rsid w:val="00930E00"/>
    <w:rsid w:val="00932D78"/>
    <w:rsid w:val="00944658"/>
    <w:rsid w:val="009561B8"/>
    <w:rsid w:val="0096659C"/>
    <w:rsid w:val="009C00B1"/>
    <w:rsid w:val="00A5034A"/>
    <w:rsid w:val="00A9426C"/>
    <w:rsid w:val="00A97B05"/>
    <w:rsid w:val="00AA09BB"/>
    <w:rsid w:val="00AC7038"/>
    <w:rsid w:val="00AE58EF"/>
    <w:rsid w:val="00B262CE"/>
    <w:rsid w:val="00B5623F"/>
    <w:rsid w:val="00BA222D"/>
    <w:rsid w:val="00BA38C4"/>
    <w:rsid w:val="00BD5B37"/>
    <w:rsid w:val="00C21F89"/>
    <w:rsid w:val="00C35B97"/>
    <w:rsid w:val="00D2682B"/>
    <w:rsid w:val="00D96213"/>
    <w:rsid w:val="00DA7B22"/>
    <w:rsid w:val="00DB70A4"/>
    <w:rsid w:val="00DC6F9A"/>
    <w:rsid w:val="00DE087A"/>
    <w:rsid w:val="00DE7E05"/>
    <w:rsid w:val="00DF09DC"/>
    <w:rsid w:val="00E07972"/>
    <w:rsid w:val="00E166A7"/>
    <w:rsid w:val="00E72FD2"/>
    <w:rsid w:val="00E97EB1"/>
    <w:rsid w:val="00EA0F50"/>
    <w:rsid w:val="00ED1A9B"/>
    <w:rsid w:val="00F1279B"/>
    <w:rsid w:val="00F331AA"/>
    <w:rsid w:val="00F6343E"/>
    <w:rsid w:val="00FA09A9"/>
    <w:rsid w:val="00FA5A6C"/>
    <w:rsid w:val="00FC1D86"/>
    <w:rsid w:val="00FD73A3"/>
    <w:rsid w:val="00FF4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9671"/>
  <w15:docId w15:val="{0C8AF37B-B9B4-4FF8-A01A-85A86E6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1" w:lineRule="auto"/>
      <w:ind w:right="3" w:firstLine="417"/>
      <w:jc w:val="both"/>
    </w:pPr>
    <w:rPr>
      <w:rFonts w:ascii="Times New Roman" w:eastAsia="Times New Roman" w:hAnsi="Times New Roman" w:cs="Times New Roman"/>
      <w:color w:val="000000"/>
      <w:sz w:val="20"/>
    </w:rPr>
  </w:style>
  <w:style w:type="paragraph" w:styleId="1">
    <w:name w:val="heading 1"/>
    <w:next w:val="a"/>
    <w:link w:val="10"/>
    <w:uiPriority w:val="9"/>
    <w:qFormat/>
    <w:pPr>
      <w:keepNext/>
      <w:keepLines/>
      <w:spacing w:after="0"/>
      <w:ind w:left="10" w:right="9" w:hanging="10"/>
      <w:jc w:val="center"/>
      <w:outlineLvl w:val="0"/>
    </w:pPr>
    <w:rPr>
      <w:rFonts w:ascii="Times New Roman" w:eastAsia="Times New Roman" w:hAnsi="Times New Roman" w:cs="Times New Roman"/>
      <w:b/>
      <w:color w:val="000000"/>
      <w:sz w:val="20"/>
    </w:rPr>
  </w:style>
  <w:style w:type="paragraph" w:styleId="2">
    <w:name w:val="heading 2"/>
    <w:next w:val="a"/>
    <w:link w:val="20"/>
    <w:uiPriority w:val="9"/>
    <w:unhideWhenUsed/>
    <w:qFormat/>
    <w:pPr>
      <w:keepNext/>
      <w:keepLines/>
      <w:spacing w:after="2"/>
      <w:ind w:left="10" w:right="5" w:hanging="10"/>
      <w:jc w:val="center"/>
      <w:outlineLvl w:val="1"/>
    </w:pPr>
    <w:rPr>
      <w:rFonts w:ascii="Times New Roman" w:eastAsia="Times New Roman" w:hAnsi="Times New Roman" w:cs="Times New Roman"/>
      <w:i/>
      <w:color w:val="000000"/>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0"/>
    </w:rPr>
  </w:style>
  <w:style w:type="character" w:customStyle="1" w:styleId="20">
    <w:name w:val="Заголовок 2 Знак"/>
    <w:link w:val="2"/>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7381"/>
    <w:pPr>
      <w:ind w:left="720"/>
      <w:contextualSpacing/>
    </w:pPr>
  </w:style>
  <w:style w:type="table" w:styleId="a4">
    <w:name w:val="Table Grid"/>
    <w:basedOn w:val="a1"/>
    <w:uiPriority w:val="39"/>
    <w:rsid w:val="00B2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05BE"/>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8305BE"/>
    <w:rPr>
      <w:rFonts w:ascii="Arial" w:eastAsia="Times New Roman" w:hAnsi="Arial" w:cs="Arial"/>
      <w:color w:val="000000"/>
      <w:sz w:val="18"/>
      <w:szCs w:val="18"/>
    </w:rPr>
  </w:style>
  <w:style w:type="paragraph" w:customStyle="1" w:styleId="Default">
    <w:name w:val="Default"/>
    <w:rsid w:val="00AC70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94019">
      <w:bodyDiv w:val="1"/>
      <w:marLeft w:val="0"/>
      <w:marRight w:val="0"/>
      <w:marTop w:val="0"/>
      <w:marBottom w:val="0"/>
      <w:divBdr>
        <w:top w:val="none" w:sz="0" w:space="0" w:color="auto"/>
        <w:left w:val="none" w:sz="0" w:space="0" w:color="auto"/>
        <w:bottom w:val="none" w:sz="0" w:space="0" w:color="auto"/>
        <w:right w:val="none" w:sz="0" w:space="0" w:color="auto"/>
      </w:divBdr>
    </w:div>
    <w:div w:id="175809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58590-E041-4F66-A376-74017D06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2</cp:revision>
  <cp:lastPrinted>2020-10-07T08:49:00Z</cp:lastPrinted>
  <dcterms:created xsi:type="dcterms:W3CDTF">2021-07-09T09:09:00Z</dcterms:created>
  <dcterms:modified xsi:type="dcterms:W3CDTF">2021-07-09T09:09:00Z</dcterms:modified>
</cp:coreProperties>
</file>